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117B" w14:textId="77777777" w:rsidR="009C282B" w:rsidRDefault="006955CC" w:rsidP="006955CC">
      <w:pPr>
        <w:shd w:val="clear" w:color="auto" w:fill="FFFFFF"/>
        <w:spacing w:before="150" w:after="150" w:line="336" w:lineRule="atLeast"/>
        <w:jc w:val="center"/>
        <w:rPr>
          <w:rFonts w:ascii="Circe-Light" w:eastAsia="Times New Roman" w:hAnsi="Circe-Light" w:cs="Times New Roman"/>
          <w:caps/>
          <w:color w:val="0F3170"/>
          <w:spacing w:val="45"/>
          <w:sz w:val="20"/>
          <w:szCs w:val="20"/>
          <w:lang w:eastAsia="ru-RU"/>
        </w:rPr>
      </w:pPr>
      <w:r w:rsidRPr="006955CC">
        <w:rPr>
          <w:rFonts w:ascii="Circe-Light" w:eastAsia="Times New Roman" w:hAnsi="Circe-Light" w:cs="Times New Roman"/>
          <w:caps/>
          <w:color w:val="0F3170"/>
          <w:spacing w:val="45"/>
          <w:sz w:val="20"/>
          <w:szCs w:val="20"/>
          <w:lang w:eastAsia="ru-RU"/>
        </w:rPr>
        <w:t>МИНИСТЕРСТВО ЗДРАВООХРАНЕНИЯ РОССИЙСКОЙ ФЕДЕРАЦИИ</w:t>
      </w:r>
    </w:p>
    <w:p w14:paraId="08FF1077" w14:textId="3C275629" w:rsidR="00CE674B" w:rsidRDefault="006955CC" w:rsidP="006955CC">
      <w:pPr>
        <w:shd w:val="clear" w:color="auto" w:fill="FFFFFF"/>
        <w:spacing w:before="150" w:after="150" w:line="336" w:lineRule="atLeast"/>
        <w:jc w:val="center"/>
        <w:rPr>
          <w:rFonts w:ascii="Circe-Light" w:eastAsia="Times New Roman" w:hAnsi="Circe-Light" w:cs="Times New Roman"/>
          <w:caps/>
          <w:color w:val="0F3170"/>
          <w:spacing w:val="45"/>
          <w:sz w:val="27"/>
          <w:szCs w:val="27"/>
          <w:lang w:eastAsia="ru-RU"/>
        </w:rPr>
      </w:pPr>
      <w:r w:rsidRPr="006955CC">
        <w:rPr>
          <w:rFonts w:ascii="Circe-Light" w:eastAsia="Times New Roman" w:hAnsi="Circe-Light" w:cs="Times New Roman"/>
          <w:caps/>
          <w:color w:val="0F3170"/>
          <w:spacing w:val="45"/>
          <w:sz w:val="27"/>
          <w:szCs w:val="27"/>
          <w:lang w:eastAsia="ru-RU"/>
        </w:rPr>
        <w:t xml:space="preserve">ИНСТРУКЦИЯПО ПРИМЕНЕНИЮ ЛЕКАРСТВЕННОГО ПРЕПАРАТА </w:t>
      </w:r>
    </w:p>
    <w:p w14:paraId="7D768E0D" w14:textId="2DFE1F2F" w:rsidR="006955CC" w:rsidRPr="006955CC" w:rsidRDefault="006955CC" w:rsidP="006955CC">
      <w:pPr>
        <w:shd w:val="clear" w:color="auto" w:fill="FFFFFF"/>
        <w:spacing w:before="150" w:after="150" w:line="336" w:lineRule="atLeast"/>
        <w:jc w:val="center"/>
        <w:rPr>
          <w:rFonts w:ascii="Circe-Light" w:eastAsia="Times New Roman" w:hAnsi="Circe-Light" w:cs="Times New Roman"/>
          <w:caps/>
          <w:color w:val="E31C3B"/>
          <w:spacing w:val="45"/>
          <w:sz w:val="67"/>
          <w:szCs w:val="67"/>
          <w:lang w:eastAsia="ru-RU"/>
        </w:rPr>
      </w:pPr>
      <w:r w:rsidRPr="006955CC">
        <w:rPr>
          <w:rFonts w:ascii="Circe-Light" w:eastAsia="Times New Roman" w:hAnsi="Circe-Light" w:cs="Times New Roman"/>
          <w:caps/>
          <w:color w:val="E31C3B"/>
          <w:spacing w:val="45"/>
          <w:sz w:val="67"/>
          <w:szCs w:val="67"/>
          <w:lang w:eastAsia="ru-RU"/>
        </w:rPr>
        <w:t>ТРОМБО АСС</w:t>
      </w:r>
      <w:r w:rsidRPr="006955CC">
        <w:rPr>
          <w:rFonts w:eastAsia="Times New Roman" w:cstheme="minorHAnsi"/>
          <w:caps/>
          <w:color w:val="E31C3B"/>
          <w:spacing w:val="45"/>
          <w:sz w:val="63"/>
          <w:szCs w:val="63"/>
          <w:vertAlign w:val="superscript"/>
          <w:lang w:eastAsia="ru-RU"/>
        </w:rPr>
        <w:t>®</w:t>
      </w:r>
    </w:p>
    <w:p w14:paraId="04EA96D9" w14:textId="77777777" w:rsidR="007E35E6" w:rsidRDefault="006955CC" w:rsidP="006955C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Регистрационный номер: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 П N013722/01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</w: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Торговое название: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 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ascii="Helvetica" w:eastAsia="Times New Roman" w:hAnsi="Helvetica" w:cs="Times New Roman"/>
          <w:color w:val="333333"/>
          <w:sz w:val="23"/>
          <w:szCs w:val="23"/>
          <w:vertAlign w:val="superscript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</w: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Группировочное наименование: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 ацетилсалициловая кислота </w:t>
      </w:r>
    </w:p>
    <w:p w14:paraId="29F72D06" w14:textId="36A15926" w:rsidR="007E35E6" w:rsidRDefault="006955CC" w:rsidP="006955C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Лекарственная форма: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 таблетки кишечнорастворимые, покрытые пленочной оболочкой </w:t>
      </w:r>
    </w:p>
    <w:p w14:paraId="1707BE02" w14:textId="77777777" w:rsidR="00E76107" w:rsidRPr="00036AF5" w:rsidRDefault="00E76107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</w:pPr>
      <w:r w:rsidRPr="00036AF5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Состав</w:t>
      </w:r>
    </w:p>
    <w:p w14:paraId="7FE3B77A" w14:textId="77777777" w:rsidR="00BA4B92" w:rsidRPr="00036AF5" w:rsidRDefault="00E76107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1 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таблетк</w:t>
      </w:r>
      <w:r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 содержит</w:t>
      </w:r>
      <w:r w:rsidR="00BA4B92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:</w:t>
      </w:r>
    </w:p>
    <w:p w14:paraId="4C458F63" w14:textId="2EFBDFFB" w:rsidR="00BA4B92" w:rsidRPr="00036AF5" w:rsidRDefault="00036AF5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036AF5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>д</w:t>
      </w:r>
      <w:r w:rsidR="00BA4B92" w:rsidRPr="00036AF5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>ействующее вещество:</w:t>
      </w:r>
      <w:r w:rsidR="00BA4B92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ацетилсалициловая кислота 50 мг или 100 мг;</w:t>
      </w:r>
    </w:p>
    <w:p w14:paraId="66E5CFB5" w14:textId="02AFBBD7" w:rsidR="00E76107" w:rsidRPr="00036AF5" w:rsidRDefault="00036AF5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036AF5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>в</w:t>
      </w:r>
      <w:r w:rsidR="00BA4B92" w:rsidRPr="00036AF5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>спомогательные вещества:</w:t>
      </w:r>
      <w:r w:rsidR="00BA4B92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лактозы моногидрат, </w:t>
      </w:r>
      <w:r w:rsidR="00061515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целлюлоза микрокристаллическая, кремния диоксид коллоидный, крахмал картофельный; </w:t>
      </w:r>
      <w:r w:rsidR="00061515" w:rsidRPr="00036AF5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 xml:space="preserve">оболочка: </w:t>
      </w:r>
      <w:r w:rsidR="00061515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тальк, </w:t>
      </w:r>
      <w:proofErr w:type="spellStart"/>
      <w:r w:rsidR="00061515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триацетин</w:t>
      </w:r>
      <w:proofErr w:type="spellEnd"/>
      <w:r w:rsidR="00061515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, </w:t>
      </w:r>
      <w:r w:rsidR="0055475B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метакриловой кислоты и </w:t>
      </w:r>
      <w:proofErr w:type="spellStart"/>
      <w:r w:rsidR="0055475B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этилакрилата</w:t>
      </w:r>
      <w:proofErr w:type="spellEnd"/>
      <w:r w:rsidR="0055475B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сополимер (</w:t>
      </w:r>
      <w:proofErr w:type="gramStart"/>
      <w:r w:rsidR="0055475B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1 :</w:t>
      </w:r>
      <w:proofErr w:type="gramEnd"/>
      <w:r w:rsidR="0055475B"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1)</w:t>
      </w:r>
      <w:r w:rsidR="00E76107"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 </w:t>
      </w:r>
      <w:r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(</w:t>
      </w:r>
      <w:proofErr w:type="spellStart"/>
      <w:r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Эудрагит</w:t>
      </w:r>
      <w:proofErr w:type="spellEnd"/>
      <w:r w:rsidRPr="00036AF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L).</w:t>
      </w:r>
    </w:p>
    <w:p w14:paraId="0EBBC9E8" w14:textId="77777777" w:rsidR="00EC2A7C" w:rsidRDefault="006955CC" w:rsidP="006955C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Описание: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  <w:t>Круглые, двояковыпуклые таблетки, белого цвета, покрытые пленочной оболочкой. Поверхность таблетки гладкая или слегка шероховатая, блестящая.</w:t>
      </w:r>
    </w:p>
    <w:p w14:paraId="4834875A" w14:textId="0B59CA8A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</w: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Фармакотерапевтическая группа: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 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антиагрегантное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средство.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</w: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Код АТХ: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 В01АС06</w:t>
      </w:r>
    </w:p>
    <w:p w14:paraId="223960A3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  <w:t>Фармакологическое действие</w:t>
      </w:r>
    </w:p>
    <w:p w14:paraId="0E3D17FF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Фармакодинамика</w:t>
      </w:r>
      <w:proofErr w:type="spellEnd"/>
    </w:p>
    <w:p w14:paraId="58CE4FC0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Ацетилсалициловая кислота (АСК) представляет собой сложный эфир салициловой кислоты, относится к группе нестероидных противовоспалительных препаратов (НПВП). Механизм действия основан на необратимом ингибировании фермента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циклооксигеназы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(ЦОГ-1), в результате чего блокируется синтез простагландинов,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простациклинов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тромбоксана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. Уменьшает агрегацию, адгезию тромбоцитов и тромбообразование за счет 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 xml:space="preserve">подавления синтеза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тромбоксана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А2 в тромбоцитах.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Антиагрегантный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эффект наиболее выражен в тромбоцитах, так как они неспособны повторно синтезировать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циклооксигеназу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Антиагрегантный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эффект развивается после применения малых доз препарата и сохраняется в течение 7 суток после однократного приема.</w:t>
      </w:r>
    </w:p>
    <w:p w14:paraId="7DD668D7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Эти свойства АСК используются в профилактике и лечении инфаркта миокарда, ишемической болезни сердца, осложнений варикозной болезни.</w:t>
      </w:r>
    </w:p>
    <w:p w14:paraId="2580F61F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Повышает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фибринолитическую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активность плазмы крови и снижает концентрацию витамин К-зависимых факторов свертывания (II, VII, IX, X). АСК оказывает также противовоспалительное, жаропонижающее и анальгезирующее действие.</w:t>
      </w:r>
    </w:p>
    <w:p w14:paraId="5F6EBA08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Фармакокинетика</w:t>
      </w:r>
    </w:p>
    <w:p w14:paraId="35E3BCA5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Абсорбция</w:t>
      </w:r>
    </w:p>
    <w:p w14:paraId="7CC8C374" w14:textId="29554A7B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После прием</w:t>
      </w:r>
      <w:r w:rsidR="00474198" w:rsidRPr="00474198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внутрь АСК быстро и полностью всасывается из желудочно-кишечного тракта (ЖКТ). Таблетки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покрыты кишечнорастворимой оболочкой</w:t>
      </w:r>
      <w:r w:rsidR="007025DC">
        <w:rPr>
          <w:rFonts w:eastAsia="Times New Roman" w:cs="Times New Roman"/>
          <w:color w:val="333333"/>
          <w:sz w:val="30"/>
          <w:szCs w:val="30"/>
          <w:lang w:eastAsia="ru-RU"/>
        </w:rPr>
        <w:t>,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что уменьшает прямое раздражающее воздействие АСК на слизистую оболочку желудка.</w:t>
      </w:r>
    </w:p>
    <w:p w14:paraId="3CFF3E37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Максимальная концентрация ацетилсалициловой кислоты в плазме крови (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Сmах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) достигается приблизительно через </w:t>
      </w: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2-7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часов после приема таблеток, таким образом, абсорбция АСК в форме таблеток кишечнорастворимых, покрытых пленочной оболочкой, замедлена по сравнению с обычными таблетками (без кишечнорастворимой оболочки).</w:t>
      </w:r>
    </w:p>
    <w:p w14:paraId="27028E3C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одновременном приеме с пищей отмечается замедление всасывания АСК без влияния на степень всасывания. Более низкая скорость абсорбции таблеток АСК, покрытых кишечнорастворимой оболочкой, не влияет на экспозицию АСК в плазме крови и ее способность ингибировать агрегацию тромбоцитов при длительной терапии низкими дозами препарата. Тем не менее, чтобы обеспечить максимальную устойчивость таблеток АСК в желудке, рекомендуется принимать препарат за 30 минут до приема пищи, запивая большим количеством жидкости (см. раздел «Способ применения и дозы»).</w:t>
      </w:r>
    </w:p>
    <w:p w14:paraId="28176DDD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Метаболизм</w:t>
      </w:r>
    </w:p>
    <w:p w14:paraId="25DE7780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 xml:space="preserve">АСК частично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метаболизируется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во время абсорбции. Во время и после всасывания АСК превращается в главный метаболит — салициловую кислоту, которая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метаболизируется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, главным образом, в печени под влиянием ферментов печени с образованием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салицируловой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кислоты, фенольного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глюкуронида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салициловой кислоты,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салицилглюкуронида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гентисуровой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кислоты.</w:t>
      </w:r>
    </w:p>
    <w:p w14:paraId="629B3686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У женщин процесс метаболизма проходит медленнее (меньшая активность ферментов в сыворотке крови).</w:t>
      </w:r>
    </w:p>
    <w:p w14:paraId="7787A864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Распределение</w:t>
      </w:r>
    </w:p>
    <w:p w14:paraId="2A53EBE1" w14:textId="13DC1775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АСК и салициловая кислота в значительной степени связываются с белками плазмы крови (от 49 до 70% - для АСК; от 66 до 98 % - для салициловой кислоты, соответственно, в зависимости от дозы) и быстро распределяются в организме. </w:t>
      </w: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После</w:t>
      </w:r>
      <w:r w:rsidR="003148BA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перорального приема АСК,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салициловая кислота проникает через плаценту и выделяется с грудным молоком.</w:t>
      </w:r>
    </w:p>
    <w:p w14:paraId="708CF1C6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Выведение</w:t>
      </w:r>
    </w:p>
    <w:p w14:paraId="6A242D5E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Выведение салициловой кислоты является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дозозависимым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, поскольку ее метаболизм ограничен возможностями ферментативной системы. Период полувыведения составляет от </w:t>
      </w: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2-3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часов при применении АСК в низких дозах и до 15 часов при применении препарата в высоких дозах (обычные дозы ацетилсалициловой кислоты в качестве анальгезирующего средства). Салициловая кислота и ее метаболиты выводятся почками.</w:t>
      </w:r>
    </w:p>
    <w:p w14:paraId="08ED537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В отличие от других салицилатов, при многократном приеме препарата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негидролизированная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АСК не накапливается в сыворотке крови.</w:t>
      </w:r>
    </w:p>
    <w:p w14:paraId="13A8517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У пациентов с нормальной функцией почек </w:t>
      </w: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80-100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% разовой дозы препарата выводится почками в течение 24-72 час.</w:t>
      </w:r>
    </w:p>
    <w:p w14:paraId="3B4A8D36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  <w:t>Показания к применению</w:t>
      </w:r>
    </w:p>
    <w:p w14:paraId="36182CEE" w14:textId="77777777" w:rsidR="006955CC" w:rsidRPr="006955CC" w:rsidRDefault="006955CC" w:rsidP="0069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Профилактика повторного инфаркта миокарда;</w:t>
      </w:r>
    </w:p>
    <w:p w14:paraId="588077E8" w14:textId="629A8F8E" w:rsidR="006955CC" w:rsidRPr="006955CC" w:rsidRDefault="006955CC" w:rsidP="0069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Нестабильная стенокардия и стабильная стенокардия;</w:t>
      </w:r>
    </w:p>
    <w:p w14:paraId="5384EA21" w14:textId="77777777" w:rsidR="006955CC" w:rsidRPr="006955CC" w:rsidRDefault="006955CC" w:rsidP="0069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Профилактика повторного ишемического инсульта у пациентов, ранее перенесших нарушение мозгового кровообращения;</w:t>
      </w:r>
    </w:p>
    <w:p w14:paraId="2D16CE94" w14:textId="77777777" w:rsidR="006955CC" w:rsidRPr="006955CC" w:rsidRDefault="006955CC" w:rsidP="0069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Профилактика повторной транзиторной ишемической атаки (ТИА);</w:t>
      </w:r>
    </w:p>
    <w:p w14:paraId="5EFFCE65" w14:textId="77777777" w:rsidR="006955CC" w:rsidRPr="006955CC" w:rsidRDefault="006955CC" w:rsidP="0069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Профилактика тромботических осложнений после операций и инвазивных вмешательств на сосудах (например, аортокоронарное шунтирование,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эндартерэктомия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сонных артерий, артериовенозное шунтирование, ангиопластика 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стентирование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коронарных артерий, ангиопластика сонных артерий).</w:t>
      </w:r>
    </w:p>
    <w:p w14:paraId="169DCF3D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Противопоказания</w:t>
      </w:r>
    </w:p>
    <w:p w14:paraId="3F2402C5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Повышенная чувствительность к ацетилсалициловой кислоте, вспомогательным веществам в составе препарата или НПВП;</w:t>
      </w:r>
    </w:p>
    <w:p w14:paraId="638B0E77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Эрозивно-язвенные поражения желудочно-кишечного тракта (в стадии обострения);</w:t>
      </w:r>
    </w:p>
    <w:p w14:paraId="68B6CF55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Желудочно-кишечное кровотечение;</w:t>
      </w:r>
    </w:p>
    <w:p w14:paraId="483CE37E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Геморрагический диатез, тромбоцитопения, гемофилия;</w:t>
      </w:r>
    </w:p>
    <w:p w14:paraId="62F03D07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Бронхиальная астма, индуцированная приемом салицилатов и других НПВП, сочетание бронхиальной астмы, рецидивирующего полипоза носа и околоносовых пазух и непереносимости АСК;</w:t>
      </w:r>
    </w:p>
    <w:p w14:paraId="356210BB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Сочетанное применение с метотрексатом в дозе 15 мг в неделю и более;</w:t>
      </w:r>
    </w:p>
    <w:p w14:paraId="0E28B1F3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Беременность (I и III триместр) и период грудного вскармливания;</w:t>
      </w:r>
    </w:p>
    <w:p w14:paraId="4A3F6CDA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Детский и подростковый возраст до 18 лет (отсутствуют данные по эффективности и безопасности);</w:t>
      </w:r>
    </w:p>
    <w:p w14:paraId="7E3FBC29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Тяжелое нарушение функции почек;</w:t>
      </w:r>
    </w:p>
    <w:p w14:paraId="6E227058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Тяжелое нарушение функции печени;</w:t>
      </w:r>
    </w:p>
    <w:p w14:paraId="3A3CDF1F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Хроническая сердечная недостаточность </w:t>
      </w: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III-IV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функционального класса по классификации NYHA;</w:t>
      </w:r>
    </w:p>
    <w:p w14:paraId="4C488B8B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Непереносимость лактозы, дефицит лактазы 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глюкозо-галактозная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мальабсорбция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;</w:t>
      </w:r>
    </w:p>
    <w:p w14:paraId="161E20D3" w14:textId="77777777" w:rsidR="006955CC" w:rsidRPr="006955CC" w:rsidRDefault="006955CC" w:rsidP="00695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Гипероксалурия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.</w:t>
      </w:r>
    </w:p>
    <w:p w14:paraId="1CDE0384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С осторожностью</w:t>
      </w:r>
    </w:p>
    <w:p w14:paraId="0C398FA9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При подагре,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гиперурикемии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, так как АСК в низких дозах снижает экскрецию мочевой кислоты, что в свою очередь может спровоцировать приступ подагры у предрасположенных пациентов.</w:t>
      </w:r>
    </w:p>
    <w:p w14:paraId="1748FC6C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Наличие в анамнезе язвенных поражений желудочно-кишечного тракта, в том числе хронические и рецидивирующие поражения желудочно-кишечного тракта или желудочно-кишечные кровотечения в анамнезе.</w:t>
      </w:r>
    </w:p>
    <w:p w14:paraId="66086D49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нарушении функции печени (ниже класса В по классификации Чайлд-Пью).</w:t>
      </w:r>
    </w:p>
    <w:p w14:paraId="6C55703E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нарушении функции почек (КК более 30 мл/мин).</w:t>
      </w:r>
    </w:p>
    <w:p w14:paraId="24BFFBDA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бронхиальной астме, хронических заболеваний органов дыхания, сенной лихорадке, полипозе носа, а также аллергических реакциях (кожные реакции, зуд, крапивница) на другие препараты, в том числе группы НПВП (анальгетики, противовоспалительные, противоревматические средства).</w:t>
      </w:r>
    </w:p>
    <w:p w14:paraId="742DA173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нарушениях кровообращения, возникающих вследствие атеросклероза почечных артерий, застойной сердечной недостаточности, гиповолемии, обширного хирургического вмешательства, сепсиса, случаев массивного кровотечения.</w:t>
      </w:r>
    </w:p>
    <w:p w14:paraId="1597AF04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Во II триместре беременности.</w:t>
      </w:r>
    </w:p>
    <w:p w14:paraId="7721F834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При тяжелых формах дефицита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глюкозо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-б-фосфат-дегидрогеназы.</w:t>
      </w:r>
    </w:p>
    <w:p w14:paraId="6D3BD53B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предполагаемом хирургическом вмешательстве (включая незначительные, например, экстракция зуба).</w:t>
      </w:r>
    </w:p>
    <w:p w14:paraId="2B701978" w14:textId="77777777" w:rsidR="006955CC" w:rsidRPr="006955CC" w:rsidRDefault="006955CC" w:rsidP="00695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сочетанном применении со следующими лекарственными средствами (см. раздел «Взаимодействие с другими лекарственными средствами»):</w:t>
      </w:r>
    </w:p>
    <w:p w14:paraId="068DCCC4" w14:textId="77777777" w:rsidR="006955CC" w:rsidRPr="006955CC" w:rsidRDefault="006955CC" w:rsidP="006955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 метотрексатом в дозе менее 15 мг в неделю;</w:t>
      </w:r>
    </w:p>
    <w:p w14:paraId="08F52936" w14:textId="77777777" w:rsidR="006955CC" w:rsidRPr="006955CC" w:rsidRDefault="006955CC" w:rsidP="006955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с антикоагулянтами,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тромболитическими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или другими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антиагрегантными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препаратами;</w:t>
      </w:r>
    </w:p>
    <w:p w14:paraId="403AC453" w14:textId="77777777" w:rsidR="006955CC" w:rsidRPr="006955CC" w:rsidRDefault="006955CC" w:rsidP="006955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с НПВП (в том числе ибупрофеном,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напроксеном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);</w:t>
      </w:r>
    </w:p>
    <w:p w14:paraId="298A7779" w14:textId="77777777" w:rsidR="006955CC" w:rsidRPr="006955CC" w:rsidRDefault="006955CC" w:rsidP="006955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 дигоксином;</w:t>
      </w:r>
    </w:p>
    <w:p w14:paraId="40163632" w14:textId="77777777" w:rsidR="006955CC" w:rsidRPr="006955CC" w:rsidRDefault="006955CC" w:rsidP="006955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с гипогликемическими препаратами для приема внутрь (производные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сульфонилмочевины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) и инсулином;</w:t>
      </w:r>
    </w:p>
    <w:p w14:paraId="2F2A02D1" w14:textId="77777777" w:rsidR="006955CC" w:rsidRPr="006955CC" w:rsidRDefault="006955CC" w:rsidP="006955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с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вальпроевой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кислотой;</w:t>
      </w:r>
    </w:p>
    <w:p w14:paraId="79BADFEB" w14:textId="77777777" w:rsidR="006955CC" w:rsidRPr="006955CC" w:rsidRDefault="006955CC" w:rsidP="006955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 алкоголем (алкогольные напитки, в частности);</w:t>
      </w:r>
    </w:p>
    <w:p w14:paraId="112D2BF7" w14:textId="77777777" w:rsidR="006955CC" w:rsidRPr="006955CC" w:rsidRDefault="006955CC" w:rsidP="006955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 селективными ингибиторами обратного захвата серотонина.</w:t>
      </w:r>
    </w:p>
    <w:p w14:paraId="0CFC644C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Применение при беременности</w:t>
      </w:r>
    </w:p>
    <w:p w14:paraId="49A0689D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Применение при беременности</w:t>
      </w:r>
    </w:p>
    <w:p w14:paraId="29DA20EF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Ингибирование синтеза простагландинов может оказывать отрицательное воздействие на беременность и развитие эмбриона или плода.</w:t>
      </w:r>
    </w:p>
    <w:p w14:paraId="302E38C2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Данные эпидемиологических исследований по применению ингибиторов синтеза простагландинов на ранних сроках беременности свидетельствуют о повышенном риске прерывания беременности и развития врожденных пороков развития плода (в том числе пороков развития сердца, расщепленное верхнее небо, а также повышенный риск развития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гастрошизиса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, предположительно возрастающего с увеличением дозы препарата и продолжительности лечения.</w:t>
      </w:r>
    </w:p>
    <w:p w14:paraId="78442C56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Исследования на животных продемонстрировали репродуктивную токсичность ацетилсалициловой кислоты. В I триместре беременности применение препаратов, содержащих ацетилсалициловую кислоту, противопоказано.</w:t>
      </w:r>
    </w:p>
    <w:p w14:paraId="6A65D27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Во II триместре беременности салицилаты можно назначать только с учетом строгой оценки риска и пользы для матери и плода.</w:t>
      </w:r>
    </w:p>
    <w:p w14:paraId="5F48A09C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Женщинам, планирующим беременность или находящимся во II триместре беременности, следует максимально снизить дозу ацетилсалициловой кислоты и продолжительность лечения.</w:t>
      </w:r>
    </w:p>
    <w:p w14:paraId="0046580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В III триместре беременности ингибиторы синтеза простагландинов могут вызывать подавление сокращений матки, приводящее к торможению родовой деятельности, увеличение времени кровотечения и усиление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антиагрегантного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эффекта (даже при применении ацетилсалициловой кислоты в низких дозах).</w:t>
      </w:r>
    </w:p>
    <w:p w14:paraId="25AC4988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У плода возможно развитие сердечно-легочной интоксикации с преждевременным закрытием артериального протока и развитием легочной гипертензии, а также нарушение функции почек, вплоть до развития почечной недостаточности, сопровождающейся маловодием. Применение ацетилсалициловой кислоты в III триместре беременности противопоказано.</w:t>
      </w:r>
    </w:p>
    <w:p w14:paraId="5D8DAE56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Применение в период грудного вскармливания</w:t>
      </w:r>
    </w:p>
    <w:p w14:paraId="1F660FD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Салицилаты и их метаболиты в небольших количествах проникают в грудное молоко. Эпизодический прием салицилатов в период грудного вскармливания не сопровождается развитием побочных реакций у ребенка и не требует прекращения грудного 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вскармливания. Однако при длительном применении препарата или назначении его в высокой дозе кормление грудью следует немедленно прекратить.</w:t>
      </w:r>
    </w:p>
    <w:p w14:paraId="297B0CA4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  <w:t>Способ применения и дозы</w:t>
      </w:r>
    </w:p>
    <w:p w14:paraId="70A0BF60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Внутрь.</w:t>
      </w:r>
    </w:p>
    <w:p w14:paraId="61DAB0DF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Таблетки препарата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желательно принимать как минимум за 30 минут до еды, запивая большим количеством воды. Чтобы обеспечить высвобождение АСК в щелочной среде двенадцатиперстной кишки, таблетки не следует разламывать, измельчать или разжевывать. Таблетки препарата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принимаются раз в сутки или через день. Препарат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предназначен для длительного применения.</w:t>
      </w:r>
    </w:p>
    <w:p w14:paraId="1DC0438A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Длительность терапии определяется врачом.</w:t>
      </w:r>
    </w:p>
    <w:p w14:paraId="73EBC784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Профилактика повторного инфаркта, стабильная и нестабильная стенокардия:</w:t>
      </w:r>
    </w:p>
    <w:p w14:paraId="3752109C" w14:textId="50840ADE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100-300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мг/</w:t>
      </w:r>
      <w:r w:rsidR="00D75C06" w:rsidRPr="00D75C06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сутки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.</w:t>
      </w:r>
    </w:p>
    <w:p w14:paraId="6253FBAC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Профилактика повторного ишемического инсульта и повторной транзиторной ишемической атаки (ТИА):</w:t>
      </w:r>
    </w:p>
    <w:p w14:paraId="4AEAEEDE" w14:textId="752860B6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100-300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мг/</w:t>
      </w:r>
      <w:r w:rsidR="00E86244" w:rsidRPr="00D75C06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сутки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.</w:t>
      </w:r>
    </w:p>
    <w:p w14:paraId="31DA9E61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Профилактика тромботических осложнений после операций и инвазивных вмешательств на сосудах:</w:t>
      </w:r>
    </w:p>
    <w:p w14:paraId="2AFAC003" w14:textId="657C1BFC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100-300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мг/</w:t>
      </w:r>
      <w:r w:rsidR="00E86244" w:rsidRPr="00D75C06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сутки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.</w:t>
      </w:r>
    </w:p>
    <w:p w14:paraId="70A50595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Действия при пропуске приема одной или нескольких доз лекарственного препарата:</w:t>
      </w:r>
    </w:p>
    <w:p w14:paraId="05D424D0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Примите пропущенную таблетку сразу, как только вспомните об этом, и далее продолжайте прием в обычном режиме. Во избежание удвоения дозы не принимайте пропущенную таблетку, если приближается время приема следующей таблетки.</w:t>
      </w:r>
    </w:p>
    <w:p w14:paraId="3694E075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Особенности действия лекарственного препарата при первом приеме и при его отмене:</w:t>
      </w:r>
    </w:p>
    <w:p w14:paraId="0873B862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Особенностей действия препарата при первом приеме и его отмене не наблюдалось.</w:t>
      </w:r>
    </w:p>
    <w:p w14:paraId="5A752CD7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Особые группы пациентов - дети</w:t>
      </w:r>
    </w:p>
    <w:p w14:paraId="5C461882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Безопасность и эффективность применения препарата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у детей и подростков младше 18 лет не установлена. 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Применение препарата у пациентов младше 18 лет противопоказано.</w:t>
      </w:r>
    </w:p>
    <w:p w14:paraId="08271C5B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Пациенты с нарушением функции печени</w:t>
      </w:r>
    </w:p>
    <w:p w14:paraId="5F777C77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Препарат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противопоказан у пациентов с тяжелым нарушением функции печени. Следует с осторожностью применять препарат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у пациентов с нарушением функции печени.</w:t>
      </w:r>
    </w:p>
    <w:p w14:paraId="05EEBDEC" w14:textId="77777777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Пациенты с нарушением функции почек</w:t>
      </w:r>
    </w:p>
    <w:p w14:paraId="32F8AE4C" w14:textId="0BCE2E9E" w:rsidR="006955CC" w:rsidRPr="006955CC" w:rsidRDefault="006955CC" w:rsidP="006955C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Препарат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противопоказан у пациентов с тяжелым нарушением функции почек. Следует с осторожностью применять препарат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у пациентов с нарушением функции почек, поскольку прием препарата может повышать риск развития почечной недостаточности и острой почечной недостаточности</w:t>
      </w:r>
      <w:r w:rsidR="000F177C">
        <w:rPr>
          <w:rFonts w:eastAsia="Times New Roman" w:cs="Times New Roman"/>
          <w:color w:val="333333"/>
          <w:sz w:val="30"/>
          <w:szCs w:val="30"/>
          <w:lang w:eastAsia="ru-RU"/>
        </w:rPr>
        <w:t>.</w:t>
      </w:r>
    </w:p>
    <w:p w14:paraId="09436FDB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  <w:t>Побочное действие</w:t>
      </w:r>
    </w:p>
    <w:p w14:paraId="7B26DAA7" w14:textId="7C64A3D0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Частота возникновения побочных реакций классифицирована в соответствии с рекомендациями Всемирной Организаци</w:t>
      </w:r>
      <w:r w:rsidR="00D40BC8" w:rsidRPr="00D40BC8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и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Здравоохранения (ВОЗ), побочные эффекты классифицированы по частоте:</w:t>
      </w:r>
    </w:p>
    <w:p w14:paraId="1C9F3E6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очень часто (≥ 1/10), часто (≥ 1/100 и ˂ 1/10), нечасто (≥ 1/1000 и ˂ 1/100), редко (≥ 1/10000 и ˂ 1/1000), очень редко (˂ 1/10000), частота неизвестна (невозможно оценить по доступным данным).</w:t>
      </w:r>
    </w:p>
    <w:p w14:paraId="242A4B31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Побочные реакции также включает данные, которые были получены в результате наблюдения за пациентами с ревматическими нарушениями, получавшими высокие дозы АСК в течение продолжительного периода времени.</w:t>
      </w:r>
    </w:p>
    <w:p w14:paraId="059352BF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АСК может приводить к жалобам на боли в животе, к развитию язвы желудка и двенадцатиперстной кишки, эрозивному гастриту, которые могут привести к серьезному желудочно-кишечному кровотечению. Вероятность возникновения этих эффектов возрастает с применением более высоких доз, хотя, не исключена возможность их возникновения при более низких дозах. Если АСК используется в течение длительного периода времени, желудочно-кишечные кровотечения могут привести к развитию острой или хронической постгеморрагической/железодефицитной анемии.</w:t>
      </w:r>
    </w:p>
    <w:p w14:paraId="7FDA28D9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Также при терапии НПВП были зарегистрированы отек, артериальная гипертония и сердечная недостаточность.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55CC" w:rsidRPr="006955CC" w14:paraId="05498E0E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E0743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lastRenderedPageBreak/>
              <w:t>Нарушения со стороны крови и лимфатической системы:</w:t>
            </w:r>
          </w:p>
        </w:tc>
      </w:tr>
      <w:tr w:rsidR="006955CC" w:rsidRPr="006955CC" w14:paraId="063918D2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B542C" w14:textId="48BD1411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Нечасто: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гемморагическая</w:t>
            </w:r>
            <w:proofErr w:type="spellEnd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 xml:space="preserve"> анемия, железодефицитная анемия (с соответс</w:t>
            </w:r>
            <w:r w:rsidR="00A62A8E" w:rsidRPr="00A62A8E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т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вующими клинико-лабораторными признаками и симптомами).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br/>
            </w: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Редко: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 xml:space="preserve"> тромбоцитопения, агранулоцитоз, </w:t>
            </w:r>
            <w:proofErr w:type="spellStart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апластическая</w:t>
            </w:r>
            <w:proofErr w:type="spellEnd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 xml:space="preserve"> анемия, гемолитическая анемия.</w:t>
            </w:r>
          </w:p>
        </w:tc>
      </w:tr>
      <w:tr w:rsidR="006955CC" w:rsidRPr="006955CC" w14:paraId="77F04138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9D514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Нарушения со стороны иммунной системы:</w:t>
            </w:r>
          </w:p>
        </w:tc>
      </w:tr>
      <w:tr w:rsidR="006955CC" w:rsidRPr="006955CC" w14:paraId="299E66C3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30332" w14:textId="6279C506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Нечасто: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гиперчувствительность, лекарственная непереносимость: крапивница, кожные реакции (такие как сыпь и зуд).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br/>
            </w: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Редко: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 xml:space="preserve"> реакции гиперчувствительности, такие как тяжелые кожные реакции (очень редко даже </w:t>
            </w:r>
            <w:proofErr w:type="spellStart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мультиформная</w:t>
            </w:r>
            <w:proofErr w:type="spellEnd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 xml:space="preserve"> эритема и токсический эпидермальный </w:t>
            </w:r>
            <w:proofErr w:type="spellStart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некролиз</w:t>
            </w:r>
            <w:proofErr w:type="spellEnd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 xml:space="preserve"> [синдром </w:t>
            </w:r>
            <w:proofErr w:type="spellStart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Лайелла</w:t>
            </w:r>
            <w:proofErr w:type="spellEnd"/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]), возможно, сопровождаются падением артериального давления, одышкой, анафилактическими реакциями или ангионевротическим отеком (отек Квинке), особенно у пациентов с астмой в анамнезе, анафилактический шок с соответс</w:t>
            </w:r>
            <w:r w:rsidR="00FB5B9D" w:rsidRPr="00FB5B9D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т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вующими лабораторными и клиническими проявлениями.</w:t>
            </w:r>
          </w:p>
        </w:tc>
      </w:tr>
      <w:tr w:rsidR="006955CC" w:rsidRPr="006955CC" w14:paraId="6FAAF1AF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91943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Нарушения со стороны нервной системы:</w:t>
            </w:r>
          </w:p>
        </w:tc>
      </w:tr>
      <w:tr w:rsidR="006955CC" w:rsidRPr="006955CC" w14:paraId="78D9CB12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6B852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Редко: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головная боль, головокружение, спутанность сознания.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br/>
            </w: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Очень редко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сообщалось о серьезных кровотечениях, таких как геморрагический инсульт или внутричерепное кровотечение, особенно у пациентов с неконтролируемой гипертонией и (или) сопутствующим лечением антикоагулянтами, которые в отдельных случаях могут быть угрожающими жизни.</w:t>
            </w:r>
          </w:p>
        </w:tc>
      </w:tr>
      <w:tr w:rsidR="006955CC" w:rsidRPr="006955CC" w14:paraId="67A3F248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074F6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Нарушения со стороны органа слуха и лабиринтные нарушения:</w:t>
            </w:r>
          </w:p>
        </w:tc>
      </w:tr>
      <w:tr w:rsidR="006955CC" w:rsidRPr="006955CC" w14:paraId="709430CF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2AA19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</w:p>
        </w:tc>
      </w:tr>
      <w:tr w:rsidR="006955CC" w:rsidRPr="006955CC" w14:paraId="1CEFB59F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16A17" w14:textId="77777777" w:rsidR="006955CC" w:rsidRPr="006955CC" w:rsidRDefault="006955CC" w:rsidP="006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5CC" w:rsidRPr="006955CC" w14:paraId="206EBE62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75042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Редко: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нарушения слуха, шум в ушах.</w:t>
            </w:r>
          </w:p>
        </w:tc>
      </w:tr>
      <w:tr w:rsidR="006955CC" w:rsidRPr="006955CC" w14:paraId="020D3D80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A773D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Нарушения со стороны сердечно-сосудистой системы:</w:t>
            </w:r>
          </w:p>
        </w:tc>
      </w:tr>
      <w:tr w:rsidR="006955CC" w:rsidRPr="006955CC" w14:paraId="14CC1F52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CFEE9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Редко: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геморрагии, операционные кровотечения, гематомы, мышечные кровоизлияния. Кардио-респираторный дистресс-синдром, связанный с тяжелыми аллергическими реакциями.</w:t>
            </w:r>
          </w:p>
        </w:tc>
      </w:tr>
      <w:tr w:rsidR="006955CC" w:rsidRPr="006955CC" w14:paraId="5033CA22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A3BC4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Нарушения со стороны дыхательной системы, органов грудной клетки и средостения:</w:t>
            </w:r>
          </w:p>
        </w:tc>
      </w:tr>
      <w:tr w:rsidR="006955CC" w:rsidRPr="006955CC" w14:paraId="07D49082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E64F9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Нечасто: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ринит, заложенность носа, носовое кровотечение.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br/>
            </w: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Редко: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реакции повышенной чувствительности (см. </w:t>
            </w: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Нарушения со стороны иммунной системы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), такие как бронхоспазм, приступы бронхиальной астмы.</w:t>
            </w:r>
          </w:p>
        </w:tc>
      </w:tr>
      <w:tr w:rsidR="006955CC" w:rsidRPr="006955CC" w14:paraId="407A15B8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87C02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Нарушения со стороны желудочно-кишечного тракта:</w:t>
            </w:r>
          </w:p>
        </w:tc>
      </w:tr>
      <w:tr w:rsidR="006955CC" w:rsidRPr="006955CC" w14:paraId="64651947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00824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Часто: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боль в животе, боль со стороны желудочно-кишечного тракта, кровоточивость десен, изжога, тошнота, рвота, диарея, диспепсия.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br/>
            </w: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lastRenderedPageBreak/>
              <w:t>Нечасто: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желудочно-кишечные кровотечения, а также язвы слизистой оболочки желудка и двенадцатиперстной кишки, которые очень редко могут привести к перфорации. Кровотечения могут приводить к развитию острой или хронической постгеморрагической/железодефицитной анемии (например, вследствие скрытого кровотечения) с соответствующими клинико-лабораторными симптомами.</w:t>
            </w:r>
          </w:p>
        </w:tc>
      </w:tr>
      <w:tr w:rsidR="006955CC" w:rsidRPr="006955CC" w14:paraId="1141524A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7AE95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lastRenderedPageBreak/>
              <w:t>Нарушения со стороны печени и желчевыводящих путей:</w:t>
            </w:r>
          </w:p>
        </w:tc>
      </w:tr>
      <w:tr w:rsidR="006955CC" w:rsidRPr="006955CC" w14:paraId="6E188465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E914A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Очень редко: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повышение активности печеночных трансаминаз, нарушение функции печени.</w:t>
            </w:r>
          </w:p>
        </w:tc>
      </w:tr>
      <w:tr w:rsidR="006955CC" w:rsidRPr="006955CC" w14:paraId="24A92916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BFF97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Нарушения со стороны кожи и подкожных тканей:</w:t>
            </w:r>
          </w:p>
        </w:tc>
      </w:tr>
      <w:tr w:rsidR="006955CC" w:rsidRPr="006955CC" w14:paraId="15262704" w14:textId="77777777" w:rsidTr="006955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9F3AF" w14:textId="77777777" w:rsidR="006955CC" w:rsidRPr="006955CC" w:rsidRDefault="006955CC" w:rsidP="006955C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</w:pPr>
            <w:r w:rsidRPr="006955CC">
              <w:rPr>
                <w:rFonts w:ascii="Helvetica" w:eastAsia="Times New Roman" w:hAnsi="Helvetica" w:cs="Times New Roman"/>
                <w:i/>
                <w:iCs/>
                <w:color w:val="333333"/>
                <w:sz w:val="30"/>
                <w:szCs w:val="30"/>
                <w:lang w:eastAsia="ru-RU"/>
              </w:rPr>
              <w:t>Очень редко:</w:t>
            </w:r>
            <w:r w:rsidRPr="006955CC">
              <w:rPr>
                <w:rFonts w:ascii="Helvetica" w:eastAsia="Times New Roman" w:hAnsi="Helvetica" w:cs="Times New Roman"/>
                <w:color w:val="333333"/>
                <w:sz w:val="30"/>
                <w:szCs w:val="30"/>
                <w:lang w:eastAsia="ru-RU"/>
              </w:rPr>
              <w:t> кожная сыпь, кожный зуд, крапивница.</w:t>
            </w:r>
          </w:p>
        </w:tc>
      </w:tr>
    </w:tbl>
    <w:p w14:paraId="73B37EE5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Если у Вас отмечаются побочные эффекты, указанные в инструкции, или они усугубляются, или Вы заметили любые другие побочные эффекты, не указанные в инструкции, сообщите об этом врачу.</w:t>
      </w:r>
    </w:p>
    <w:p w14:paraId="48180B1B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Передозировка</w:t>
      </w:r>
    </w:p>
    <w:p w14:paraId="5D6EE4A5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передозировке необходимо немедленно обратиться к врачу.</w:t>
      </w:r>
    </w:p>
    <w:p w14:paraId="024685F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Салицилатная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интоксикация (развивается при приеме АСК в дозе более 100 мг/кг/сутки на протяжении более чем 2 суток) может явиться результатом длительного употребления токсических доз препарата в рамках неправильного терапевтического применения препарата (хроническая интоксикация) или однократного случайного или намеренного приема токсической дозы препарата взрослым или ребенком (острая интоксикация).</w:t>
      </w:r>
    </w:p>
    <w:p w14:paraId="668EA135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Симптомы </w:t>
      </w: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хронической интоксикации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производными салициловой кислоты неспецифичны и часто диагностируются с трудом. Интоксикация легкой степени тяжести обычно развивается только после неоднократного использования больших доз препарата и проявляется головокружением,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вертиго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, шумом в ушах, снижением слуха, повышенным потоотделением, тошнотой и рвотой, головной болью и спутанностью сознания. Указанная симптоматика исчезает после уменьшения дозы препарата. Шум в ушах может появляться при концентрации АСК в плазме крови от 150 до 300 мкг/мл. Более тяжелые симптомы проявляются при концентрации АСК в плазме крови выше 300 мкг/мл.</w:t>
      </w:r>
    </w:p>
    <w:p w14:paraId="08CB62D9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Основным проявлением </w:t>
      </w: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острой интоксикации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является тяжелое нарушение кислотно-основного состояния, проявления которого 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могут варьировать в зависимости от возраста больного и степени тяжести интоксикации. У детей наиболее типичным является развитие метаболического ацидоза. Поскольку скорость всасывания АСК может снижаться из-за замедленного опорожнения желудка, образования конкрементов или приема препаратов, устойчивых к действию желудочно-кишечного сока, нельзя судить о тяжести интоксикации только по изменению концентрации салицилатов в плазме крови. Лечение интоксикации проводится в соответствии с принятыми стандартами и зависит от степени тяжести интоксикации и клинической картины и должно быть направлено главным образом на ускорение выведения препарата и восстановление водно-электролитного баланса и кислотно-основного состояния.</w:t>
      </w:r>
    </w:p>
    <w:p w14:paraId="7F195472" w14:textId="77777777" w:rsidR="00AE0DA3" w:rsidRDefault="006955CC" w:rsidP="006955CC">
      <w:pPr>
        <w:spacing w:after="0" w:line="240" w:lineRule="auto"/>
        <w:rPr>
          <w:rFonts w:eastAsia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i/>
          <w:iCs/>
          <w:color w:val="333333"/>
          <w:sz w:val="30"/>
          <w:szCs w:val="30"/>
          <w:shd w:val="clear" w:color="auto" w:fill="FFFFFF"/>
          <w:lang w:eastAsia="ru-RU"/>
        </w:rPr>
        <w:t>Симптомы передозировки: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shd w:val="clear" w:color="auto" w:fill="FFFFFF"/>
          <w:lang w:eastAsia="ru-RU"/>
        </w:rPr>
        <w:t> </w:t>
      </w:r>
    </w:p>
    <w:p w14:paraId="7D9BDB39" w14:textId="695F10ED"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-при лёгкой и средней степени тяжести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shd w:val="clear" w:color="auto" w:fill="FFFFFF"/>
          <w:lang w:eastAsia="ru-RU"/>
        </w:rPr>
        <w:t> (однократная доза менее 150 мг/кг):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shd w:val="clear" w:color="auto" w:fill="FFFFFF"/>
          <w:lang w:eastAsia="ru-RU"/>
        </w:rPr>
        <w:t>головокружение, шум в ушах, снижение слуха, повышенное потоотделение, тошнота и рвота, головная боль, спутанность сознания, профузное потоотделение, тахипноэ, гипервентиляция, респираторный алкалоз.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</w:r>
      <w:r w:rsidRPr="006955CC">
        <w:rPr>
          <w:rFonts w:ascii="Helvetica" w:eastAsia="Times New Roman" w:hAnsi="Helvetica" w:cs="Times New Roman"/>
          <w:i/>
          <w:iCs/>
          <w:color w:val="333333"/>
          <w:sz w:val="30"/>
          <w:szCs w:val="30"/>
          <w:shd w:val="clear" w:color="auto" w:fill="FFFFFF"/>
          <w:lang w:eastAsia="ru-RU"/>
        </w:rPr>
        <w:t>Лечение: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shd w:val="clear" w:color="auto" w:fill="FFFFFF"/>
          <w:lang w:eastAsia="ru-RU"/>
        </w:rPr>
        <w:t xml:space="preserve"> желудочный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shd w:val="clear" w:color="auto" w:fill="FFFFFF"/>
          <w:lang w:eastAsia="ru-RU"/>
        </w:rPr>
        <w:t>лаваж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shd w:val="clear" w:color="auto" w:fill="FFFFFF"/>
          <w:lang w:eastAsia="ru-RU"/>
        </w:rPr>
        <w:t>, многократный прием активированного угля, форсированный щелочной диурез, восстановление водно-электролитного баланса и кислотно-щелочного состояния.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</w:r>
      <w:r w:rsidRPr="006955CC">
        <w:rPr>
          <w:rFonts w:ascii="Helvetica" w:eastAsia="Times New Roman" w:hAnsi="Helvetica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-при средней и тяжелой степени тяжести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shd w:val="clear" w:color="auto" w:fill="FFFFFF"/>
          <w:lang w:eastAsia="ru-RU"/>
        </w:rPr>
        <w:t> (однократная доза 150 мг/кг-300 мг/кг – средняя степень тяжести, более 300 мг/кг – тяжелая степень отравления):</w:t>
      </w:r>
    </w:p>
    <w:p w14:paraId="5F3602FB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респираторный алкалоз с компенсаторным метаболическим ацидозом;</w:t>
      </w:r>
    </w:p>
    <w:p w14:paraId="361D38F7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гиперпирексия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;</w:t>
      </w:r>
    </w:p>
    <w:p w14:paraId="1A1F3725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нарушения дыхания, гипервентиляция,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некардиогенный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отек легких, угнетение дыхания, асфиксия;</w:t>
      </w:r>
    </w:p>
    <w:p w14:paraId="3A9350FF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>со стороны сердечно-сосудистой системы: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 нарушения ритма сердца, артериальная гипотензия, угнетение сердечной деятельности;</w:t>
      </w:r>
    </w:p>
    <w:p w14:paraId="40971636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>со стороны водно-электролитного баланса: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 дегидратация, нарушение функции почек от олигурии вплоть до развития почечной недостаточности, характеризующееся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гипокалиемией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, гипернатриемией, гипонатриемией;</w:t>
      </w:r>
    </w:p>
    <w:p w14:paraId="7F3BEBB5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 xml:space="preserve">нарушение метаболизма глюкозы: гипергликемия, гипогликемия (особенно у детей),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кетоацидоз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;</w:t>
      </w:r>
    </w:p>
    <w:p w14:paraId="38CE73A5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шум в ушах, глухота;</w:t>
      </w:r>
    </w:p>
    <w:p w14:paraId="63374234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желудочно-кишечные кровотечения;</w:t>
      </w:r>
    </w:p>
    <w:p w14:paraId="59F3A6BF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гематологические нарушения: от ингибирования агрегации тромбоцитов до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коагулопатии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, удлинение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протромбинового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времени,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гипопротромбинемия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;</w:t>
      </w:r>
    </w:p>
    <w:p w14:paraId="7350CFC4" w14:textId="77777777" w:rsidR="006955CC" w:rsidRPr="006955CC" w:rsidRDefault="006955CC" w:rsidP="00695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неврологические нарушения: токсическая энцефалопатия и угнетение функции центральной нервной системы (сонливость, спутанность сознания, кома, судороги).</w:t>
      </w:r>
    </w:p>
    <w:p w14:paraId="7E3F7EFF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i/>
          <w:iCs/>
          <w:color w:val="333333"/>
          <w:sz w:val="30"/>
          <w:szCs w:val="30"/>
          <w:shd w:val="clear" w:color="auto" w:fill="FFFFFF"/>
          <w:lang w:eastAsia="ru-RU"/>
        </w:rPr>
        <w:t>Лечение: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 немедленная госпитализация в специализированные отделения для проведения экстренной терапии – желудочный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лаваж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, многократный прием активированного угля, форсированный щелочной диурез, гемодиализ, восстановление водно-электролитного баланса и кислотно-щелочного состояния, симптоматическая терапия.</w:t>
      </w:r>
    </w:p>
    <w:p w14:paraId="64F7F2F2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Взаимодействие с другими лекарственными средствами</w:t>
      </w:r>
    </w:p>
    <w:p w14:paraId="173026ED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При одновременном применении АСК 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u w:val="single"/>
          <w:lang w:eastAsia="ru-RU"/>
        </w:rPr>
        <w:t>усиливает действие перечисленных ниже лекарственных препаратов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:</w:t>
      </w:r>
    </w:p>
    <w:p w14:paraId="2D5212FD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метотрексата за счет снижения почечного клиренса и вытеснения его из связи с белками; применение препарата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совместно с метотрексатом противопоказано, если доза последнего превышает 15 мг в неделю (см. раздел «Противопоказания») и возможно с осторожностью - при дозе метотрексата менее 15 мг в неделю;</w:t>
      </w:r>
    </w:p>
    <w:p w14:paraId="40AF32ED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гепарина и непрямых антикоагулянтов за счет нарушения функции тромбоцитов и вытеснения непрямых антикоагулянтов из связи с белками;</w:t>
      </w:r>
    </w:p>
    <w:p w14:paraId="1C417EB9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при одновременном применении с антикоагулянтами,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тромболитическими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антиагрегантными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средствами отмечается увеличение риска кровотечений в результате синергизма основных терапевтических эффектов применяемых препаратов;</w:t>
      </w:r>
    </w:p>
    <w:p w14:paraId="17A743C5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при одновременном применении с препаратами, обладающими антикоагулянтным,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тромболитическим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или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антиагрегантным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действием отмечается усиление 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повреждающего действия на слизистую оболочку желудочно-кишечного тракта;</w:t>
      </w:r>
    </w:p>
    <w:p w14:paraId="06DF97C3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селективных ингибиторов обратного захвата серотонина, что может привести к повышению риска кровотечения из верхних отделов желудочно-кишечного тракта (синергизм с АСК);</w:t>
      </w:r>
    </w:p>
    <w:p w14:paraId="4ACDDA59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дигоксина вследствие снижения его почечной экскреции, что может привести к его передозировке;</w:t>
      </w:r>
    </w:p>
    <w:p w14:paraId="563E5F3F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гипогликемических препаратов (инсулин, производные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сульфонилмочевины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) за счет гипогликемических свойств самой АСК в высоких дозах и вытеснения производных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сульфонилмочевины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из связи с белками плазмы крови;</w:t>
      </w:r>
    </w:p>
    <w:p w14:paraId="31D8E8B3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при одновременном применении с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вальпроевой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кислотой увеличивается ее токсичность за счет вытеснения из связи с белками плазмы крови;</w:t>
      </w:r>
    </w:p>
    <w:p w14:paraId="6963FBAF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НПВП (повышение риска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ульцерогенного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эффекта и кровотечения из желудочно-кишечного тракта в результате синергизма действия);</w:t>
      </w:r>
    </w:p>
    <w:p w14:paraId="3BBB4E8D" w14:textId="77777777" w:rsidR="006955CC" w:rsidRPr="006955CC" w:rsidRDefault="006955CC" w:rsidP="00695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Этанола (алкогольные напитки) (повышенный риск повреждения слизистой оболочки желудочно-кишечного тракта и удлинение времени кровотечения в результате взаимного усиления эффектов АСК и этанола).</w:t>
      </w:r>
    </w:p>
    <w:p w14:paraId="1BC1593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Одновременное назначение АСК в высоких дозах может 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u w:val="single"/>
          <w:lang w:eastAsia="ru-RU"/>
        </w:rPr>
        <w:t>ослаблять действие перечисленных ниже лекарственных препаратов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:</w:t>
      </w:r>
    </w:p>
    <w:p w14:paraId="6388F663" w14:textId="77777777" w:rsidR="006955CC" w:rsidRPr="006955CC" w:rsidRDefault="006955CC" w:rsidP="0069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любые диуретики (при совместном применении с АСК в высоких дозах отмечается снижение скорости клубочковой фильтрации в результате снижения синтеза простагландинов в почках);</w:t>
      </w:r>
    </w:p>
    <w:p w14:paraId="18611885" w14:textId="77777777" w:rsidR="006955CC" w:rsidRPr="006955CC" w:rsidRDefault="006955CC" w:rsidP="0069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ингибиторы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ангиотензинпревращающего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фермента (АПФ) (отмечается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дозозависимое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снижение скорости клубочковой фильтрации (СКФ) в результате ингибирования простагландинов, обладающих сосудорасширяющим действием, соответственно ослабление гипотензивного действия;</w:t>
      </w:r>
    </w:p>
    <w:p w14:paraId="5FF67703" w14:textId="77777777" w:rsidR="006955CC" w:rsidRPr="006955CC" w:rsidRDefault="006955CC" w:rsidP="00695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препараты с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урикозурическим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действием -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бензбромарон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пробенецид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(снижение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урикозурического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эффекта вследствие конкурентного подавления почечной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канальцевой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экскреции мочевой кислоты).</w:t>
      </w:r>
    </w:p>
    <w:p w14:paraId="0D409FFC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 xml:space="preserve">При одновременном применении с метамизолом отмечается уменьшение влияния АСК на агрегацию тромбоцитов, поэтому у пациентов, принимающих низкие дозы АСК с целью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кардиопротекции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данную комбинацию следует использовать с осторожностью.</w:t>
      </w:r>
    </w:p>
    <w:p w14:paraId="03463DA0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При одновременном (в течение одного дня) применении с ибупрофеном 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напроксеном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отмечается антагонизм в отношении необратимого угнетения тромбоцитов, обусловленного действием АСК. Клиническое значение данного эффекта неизвестно. Не рекомендуется сочетание АСК с ибупрофеном у пациентов с высоким риском сердечно-сосудистых заболеваний из-за возможного снижения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кардиопротективных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эффектов АСК. При одновременном применении с системными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глюкокортикостероидами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(ГКС) (за исключением гидрокортизона или другого ГКС, используемого для заместительной терапии болезни Аддисона) отмечается усиление элиминации салицилатов и соответственно ослабление их действия. При сочетанном применении ГКС и салицилатов следует помнить, что во время лечения уровень салицилатов в крови снижен, а после отмены ГКС возможна передозировка салицилатов.</w:t>
      </w:r>
    </w:p>
    <w:p w14:paraId="38B6C3A5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Особые указания</w:t>
      </w:r>
    </w:p>
    <w:p w14:paraId="567C6457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Препарат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следует применять с осторожностью при следующих состояниях:</w:t>
      </w:r>
    </w:p>
    <w:p w14:paraId="7D222E73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 Повышенная чувствительность к анальгетикам, противовоспалительным препаратам, противоревматическим препаратам, а также аллергические реакции на другие вещества.</w:t>
      </w:r>
    </w:p>
    <w:p w14:paraId="235CF19B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 Наличие в анамнезе язвенных поражений желудочно-кишечного тракта, в том числе хронические и рецидивирующие поражения желудочно-кишечного тракта или желудочно-кишечные кровотечения в анамнезе.</w:t>
      </w:r>
    </w:p>
    <w:p w14:paraId="3FAD9CA7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 Одновременное применение с антикоагулянтами (см. раздел «Взаимодействие с другими лекарственными средствами»).</w:t>
      </w:r>
    </w:p>
    <w:p w14:paraId="025F883D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- При нарушении функции почек или при нарушении кровообращения, возникающих вследствие атеросклероза почечных артерий, застойной сердечной недостаточности, гиповолемии, обширного хирургического вмешательства, сепсиса или случаев массивного кровотечения, поскольку во всех 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перечисленных случаях АСК может повышать риск развития острой почечной недостаточности и нарушения функции почек.</w:t>
      </w:r>
    </w:p>
    <w:p w14:paraId="25FA5046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- При тяжелых формах дефицита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глюкозо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-б-фосфат-дегидрогеназы АСК может вызывать гемолиз и гемолитическую анемию. Факторами, которые могут повышать риск развития гемолиза, являются лихорадка, острые инфекции и высокие дозы препарата.</w:t>
      </w:r>
    </w:p>
    <w:p w14:paraId="0EE6452F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 При нарушении функции печени.</w:t>
      </w:r>
    </w:p>
    <w:p w14:paraId="32F8C596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- Некоторые НПВП (ибупрофен,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напроксен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) могут ослаблять ингибирующее действие АСК на агрегацию тромбоцитов. Пациенты, принимающие АСК, и планирующие прием НПВП, должны обсудить это с лечащим врачом (см. раздел «Взаимодействие с другими лекарственными средствами»).</w:t>
      </w:r>
    </w:p>
    <w:p w14:paraId="0CC0D719" w14:textId="12E9E2F1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 АСК может провоцировать бронхоспазм, а также вызывать приступы бронхиальной астмы и другие реакции повышенной чувствительности</w:t>
      </w:r>
      <w:r w:rsidR="00B247FC">
        <w:rPr>
          <w:rFonts w:eastAsia="Times New Roman" w:cs="Times New Roman"/>
          <w:color w:val="333333"/>
          <w:sz w:val="30"/>
          <w:szCs w:val="30"/>
          <w:lang w:eastAsia="ru-RU"/>
        </w:rPr>
        <w:t>.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Факторами риска являются наличие бронхиальной астмы в анамнезе, сенной лихорадки, полипоза носа, хронических заболеваний дыхательной системы, а также аллергических реакций на другие препараты (например, кожные реакции, зуд, крапивница).</w:t>
      </w:r>
    </w:p>
    <w:p w14:paraId="5D08981F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- Ингибирующее действие АСК на агрегацию тромбоцитов сохраняется в течение нескольких дней после приема, в связи с чем, возможно повышение риска кровотечений в ходе оперативного вмешательства или в послеоперационном периоде (включая малые хирургические операции, </w:t>
      </w:r>
      <w:proofErr w:type="gram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например,</w:t>
      </w:r>
      <w:proofErr w:type="gram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удаление зуба).</w:t>
      </w:r>
    </w:p>
    <w:p w14:paraId="2DC0C663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 АСК в низких дозах снижает экскрецию мочевой кислоты, что может приводить к приступам подагры у пациентов, склонных к этому заболеванию.</w:t>
      </w:r>
    </w:p>
    <w:p w14:paraId="578797BC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 Превышение дозы АСК сопряжено с риском желудочно-кишечного кровотечения.</w:t>
      </w:r>
    </w:p>
    <w:p w14:paraId="07D4E3FD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- Передозировка особенно опасна у пациентов пожилого возраста.</w:t>
      </w:r>
    </w:p>
    <w:p w14:paraId="0D3B087A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Препарат следует применять после назначения врача.</w:t>
      </w:r>
    </w:p>
    <w:p w14:paraId="2CC0E033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Влияние на способность управления транспортными средствами и механизмами</w:t>
      </w:r>
    </w:p>
    <w:p w14:paraId="7E65E0FC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 xml:space="preserve">Прием препарата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Тромбо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АСС</w:t>
      </w:r>
      <w:r w:rsidRPr="006955CC">
        <w:rPr>
          <w:rFonts w:eastAsia="Times New Roman" w:cstheme="minorHAnsi"/>
          <w:color w:val="333333"/>
          <w:sz w:val="30"/>
          <w:szCs w:val="30"/>
          <w:lang w:eastAsia="ru-RU"/>
        </w:rPr>
        <w:t>®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не влияет на способность управления транспортными средствами и механизмами.</w:t>
      </w:r>
    </w:p>
    <w:p w14:paraId="2575294C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Форма выпуска</w:t>
      </w:r>
    </w:p>
    <w:p w14:paraId="1ABE04EE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Таблетки кишечнорастворимые, покрытые пленочной оболочкой 50 мг и 100 мг.</w:t>
      </w:r>
    </w:p>
    <w:p w14:paraId="06CFDA68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По 14 таблеток или по 20 таблеток в ПВХ/Ал блистер.</w:t>
      </w:r>
    </w:p>
    <w:p w14:paraId="6EFA873E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По 2 блистера (для 14 таблеток) или по 5 блистеров (для 20 таблеток) вместе с инструкцией по применению в картонную пачку.</w:t>
      </w:r>
    </w:p>
    <w:p w14:paraId="1C234FF5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Условия хранения</w:t>
      </w:r>
    </w:p>
    <w:p w14:paraId="11BF3C5A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Хранить в защищенном от света месте, при температуре не выше 25 °С.</w:t>
      </w:r>
    </w:p>
    <w:p w14:paraId="707B1412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Хранить в недоступном для детей месте.</w:t>
      </w:r>
    </w:p>
    <w:p w14:paraId="3CBDEC67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Срок годности</w:t>
      </w:r>
    </w:p>
    <w:p w14:paraId="3A93FA63" w14:textId="22B075A0" w:rsidR="00FD20F9" w:rsidRPr="00593FA7" w:rsidRDefault="00FD20F9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FD20F9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2 года</w:t>
      </w:r>
      <w:r>
        <w:rPr>
          <w:rFonts w:eastAsia="Times New Roman" w:cs="Times New Roman"/>
          <w:color w:val="333333"/>
          <w:sz w:val="30"/>
          <w:szCs w:val="30"/>
          <w:lang w:eastAsia="ru-RU"/>
        </w:rPr>
        <w:t xml:space="preserve"> </w:t>
      </w:r>
      <w:r w:rsidRPr="00593FA7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(для дозировки 50 мг)</w:t>
      </w:r>
      <w:r w:rsidR="00D72827" w:rsidRPr="00593FA7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,</w:t>
      </w:r>
    </w:p>
    <w:p w14:paraId="5D22FA9E" w14:textId="7C932FCD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3 года</w:t>
      </w:r>
      <w:r w:rsidR="00D72827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</w:t>
      </w:r>
      <w:r w:rsidR="00D72827" w:rsidRPr="00593FA7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(для дозировки 100 мг)</w:t>
      </w: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.</w:t>
      </w:r>
    </w:p>
    <w:p w14:paraId="21F55904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Не использовать по истечении срока годности, указанного на упаковке.</w:t>
      </w:r>
    </w:p>
    <w:p w14:paraId="5C64AB38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Условия отпуска</w:t>
      </w:r>
    </w:p>
    <w:p w14:paraId="1D096919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Без рецепта.</w:t>
      </w:r>
    </w:p>
    <w:p w14:paraId="0D11B130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Владелец регистрационного удостоверения</w:t>
      </w:r>
    </w:p>
    <w:p w14:paraId="7AC72E63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ООО «Бауш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Хелс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», 115162, Москва, ул. Шаболовка, д. 31, стр. 5, Россия.</w:t>
      </w:r>
    </w:p>
    <w:p w14:paraId="464B95C2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Производитель</w:t>
      </w:r>
    </w:p>
    <w:p w14:paraId="5CBD0ED0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>Производитель готовой лекарственной формы, фасовщик, упаковщик:</w:t>
      </w:r>
    </w:p>
    <w:p w14:paraId="5BEE2B82" w14:textId="6D36B651" w:rsidR="006955CC" w:rsidRPr="003A07F3" w:rsidRDefault="006955CC" w:rsidP="003A07F3">
      <w:pPr>
        <w:pStyle w:val="a6"/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3A07F3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«Г.Л. Фарма </w:t>
      </w:r>
      <w:proofErr w:type="spellStart"/>
      <w:r w:rsidRPr="003A07F3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ГмбХ</w:t>
      </w:r>
      <w:proofErr w:type="spellEnd"/>
      <w:r w:rsidRPr="003A07F3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», </w:t>
      </w:r>
      <w:proofErr w:type="spellStart"/>
      <w:r w:rsidRPr="003A07F3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Индустриштрассе</w:t>
      </w:r>
      <w:proofErr w:type="spellEnd"/>
      <w:r w:rsidRPr="003A07F3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1, 8502, Ланнах, Австрия</w:t>
      </w:r>
      <w:r w:rsidR="003A07F3">
        <w:rPr>
          <w:rFonts w:eastAsia="Times New Roman" w:cs="Times New Roman"/>
          <w:color w:val="333333"/>
          <w:sz w:val="30"/>
          <w:szCs w:val="30"/>
          <w:lang w:eastAsia="ru-RU"/>
        </w:rPr>
        <w:t>;</w:t>
      </w:r>
    </w:p>
    <w:p w14:paraId="66FD3C15" w14:textId="13DC2450" w:rsidR="003A07F3" w:rsidRPr="00181877" w:rsidRDefault="00181877" w:rsidP="003A07F3">
      <w:pPr>
        <w:pStyle w:val="a6"/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«</w:t>
      </w:r>
      <w:proofErr w:type="spellStart"/>
      <w:r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Фармзавод</w:t>
      </w:r>
      <w:proofErr w:type="spellEnd"/>
      <w:r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Ельфа</w:t>
      </w:r>
      <w:proofErr w:type="spellEnd"/>
      <w:r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А.О.», ул. В. Поля 21 </w:t>
      </w:r>
      <w:proofErr w:type="gramStart"/>
      <w:r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58-500</w:t>
      </w:r>
      <w:proofErr w:type="gramEnd"/>
      <w:r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Еленя Гура, Польша;</w:t>
      </w:r>
    </w:p>
    <w:p w14:paraId="7F69DEE9" w14:textId="1F825351" w:rsidR="00181877" w:rsidRPr="003A07F3" w:rsidRDefault="00181877" w:rsidP="003A07F3">
      <w:pPr>
        <w:pStyle w:val="a6"/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lastRenderedPageBreak/>
        <w:t>«Ай</w:t>
      </w:r>
      <w:r w:rsidR="000F2B2D"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Си Эн </w:t>
      </w:r>
      <w:proofErr w:type="spellStart"/>
      <w:r w:rsidR="000F2B2D"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Польфа</w:t>
      </w:r>
      <w:proofErr w:type="spellEnd"/>
      <w:r w:rsidR="000F2B2D"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Жешув А.О.», </w:t>
      </w:r>
      <w:proofErr w:type="spellStart"/>
      <w:r w:rsidR="000F2B2D"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ул.Пшемыслова</w:t>
      </w:r>
      <w:proofErr w:type="spellEnd"/>
      <w:r w:rsidR="000F2B2D"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2, </w:t>
      </w:r>
      <w:proofErr w:type="gramStart"/>
      <w:r w:rsidR="000F2B2D"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35-959</w:t>
      </w:r>
      <w:proofErr w:type="gramEnd"/>
      <w:r w:rsidR="000F2B2D"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Жешув</w:t>
      </w:r>
      <w:r w:rsidR="0091690B" w:rsidRPr="0091690B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, Польша.</w:t>
      </w:r>
    </w:p>
    <w:p w14:paraId="5B081449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i/>
          <w:iCs/>
          <w:color w:val="333333"/>
          <w:sz w:val="30"/>
          <w:szCs w:val="30"/>
          <w:lang w:eastAsia="ru-RU"/>
        </w:rPr>
        <w:t>Выпускающий контроль качества:</w:t>
      </w:r>
    </w:p>
    <w:p w14:paraId="72A0D4C9" w14:textId="77777777" w:rsidR="00D44165" w:rsidRPr="00D44165" w:rsidRDefault="006955CC" w:rsidP="00D44165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B86038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«Г.Л. Фарма </w:t>
      </w:r>
      <w:proofErr w:type="spellStart"/>
      <w:r w:rsidRPr="00B86038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ГмбХ</w:t>
      </w:r>
      <w:proofErr w:type="spellEnd"/>
      <w:r w:rsidRPr="00B86038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», </w:t>
      </w:r>
      <w:proofErr w:type="spellStart"/>
      <w:r w:rsidRPr="00B86038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Индустриштрассе</w:t>
      </w:r>
      <w:proofErr w:type="spellEnd"/>
      <w:r w:rsidRPr="00B86038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1, 8502, Ланнах, Австрия</w:t>
      </w:r>
      <w:r w:rsidR="00B86038">
        <w:rPr>
          <w:rFonts w:eastAsia="Times New Roman" w:cs="Times New Roman"/>
          <w:color w:val="333333"/>
          <w:sz w:val="30"/>
          <w:szCs w:val="30"/>
          <w:lang w:eastAsia="ru-RU"/>
        </w:rPr>
        <w:t>;</w:t>
      </w:r>
    </w:p>
    <w:p w14:paraId="0B1BF0D9" w14:textId="77777777" w:rsidR="00D44165" w:rsidRPr="00D44165" w:rsidRDefault="00D44165" w:rsidP="00D44165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«</w:t>
      </w:r>
      <w:proofErr w:type="spellStart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Фармзавод</w:t>
      </w:r>
      <w:proofErr w:type="spellEnd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Ельфа</w:t>
      </w:r>
      <w:proofErr w:type="spellEnd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А.О.», ул. В. Поля 21 </w:t>
      </w:r>
      <w:proofErr w:type="gramStart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58-500</w:t>
      </w:r>
      <w:proofErr w:type="gramEnd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Еленя Гура, Польша;</w:t>
      </w:r>
    </w:p>
    <w:p w14:paraId="438C1000" w14:textId="74CA2C8C" w:rsidR="00B86038" w:rsidRPr="00D44165" w:rsidRDefault="00D44165" w:rsidP="00D44165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«Ай Си Эн </w:t>
      </w:r>
      <w:proofErr w:type="spellStart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Польфа</w:t>
      </w:r>
      <w:proofErr w:type="spellEnd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Жешув А.О.», </w:t>
      </w:r>
      <w:proofErr w:type="spellStart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ул.Пшемыслова</w:t>
      </w:r>
      <w:proofErr w:type="spellEnd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2, </w:t>
      </w:r>
      <w:proofErr w:type="gramStart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35-959</w:t>
      </w:r>
      <w:proofErr w:type="gramEnd"/>
      <w:r w:rsidRPr="00D4416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 Жешув, Польша.</w:t>
      </w:r>
    </w:p>
    <w:p w14:paraId="5433FF1F" w14:textId="77777777" w:rsidR="006955CC" w:rsidRPr="006955CC" w:rsidRDefault="006955CC" w:rsidP="006955C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6955C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Организация, принимающая претензии потребителей</w:t>
      </w:r>
    </w:p>
    <w:p w14:paraId="69CF283E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 xml:space="preserve">ООО «Бауш </w:t>
      </w:r>
      <w:proofErr w:type="spellStart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Хелс</w:t>
      </w:r>
      <w:proofErr w:type="spellEnd"/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», 115162, Москва, ул. Шаболовка, д. 31, стр. 5, Россия.</w:t>
      </w:r>
    </w:p>
    <w:p w14:paraId="4B47C683" w14:textId="77777777" w:rsidR="006955CC" w:rsidRPr="006955CC" w:rsidRDefault="006955CC" w:rsidP="006955C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</w:pPr>
      <w:r w:rsidRPr="006955CC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t>Тел./факс: +7 (495) 510-28-79.</w:t>
      </w:r>
    </w:p>
    <w:p w14:paraId="7416415E" w14:textId="77777777" w:rsidR="001810B2" w:rsidRPr="006955CC" w:rsidRDefault="00593FA7" w:rsidP="006955CC"/>
    <w:sectPr w:rsidR="001810B2" w:rsidRPr="0069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rce-Ligh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4AC"/>
    <w:multiLevelType w:val="multilevel"/>
    <w:tmpl w:val="2EF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57FE"/>
    <w:multiLevelType w:val="multilevel"/>
    <w:tmpl w:val="C3EA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D7C35"/>
    <w:multiLevelType w:val="multilevel"/>
    <w:tmpl w:val="891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A1576"/>
    <w:multiLevelType w:val="multilevel"/>
    <w:tmpl w:val="EA3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5A1E"/>
    <w:multiLevelType w:val="multilevel"/>
    <w:tmpl w:val="E22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4B1"/>
    <w:multiLevelType w:val="hybridMultilevel"/>
    <w:tmpl w:val="C4C8E63E"/>
    <w:lvl w:ilvl="0" w:tplc="5E1481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030DE"/>
    <w:multiLevelType w:val="multilevel"/>
    <w:tmpl w:val="C80A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887868">
    <w:abstractNumId w:val="4"/>
  </w:num>
  <w:num w:numId="2" w16cid:durableId="955017110">
    <w:abstractNumId w:val="1"/>
  </w:num>
  <w:num w:numId="3" w16cid:durableId="686372216">
    <w:abstractNumId w:val="3"/>
  </w:num>
  <w:num w:numId="4" w16cid:durableId="216016262">
    <w:abstractNumId w:val="2"/>
  </w:num>
  <w:num w:numId="5" w16cid:durableId="1138231517">
    <w:abstractNumId w:val="0"/>
  </w:num>
  <w:num w:numId="6" w16cid:durableId="949241013">
    <w:abstractNumId w:val="6"/>
  </w:num>
  <w:num w:numId="7" w16cid:durableId="1407024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F3"/>
    <w:rsid w:val="00036AF5"/>
    <w:rsid w:val="00061515"/>
    <w:rsid w:val="000F177C"/>
    <w:rsid w:val="000F2B2D"/>
    <w:rsid w:val="00162CFA"/>
    <w:rsid w:val="00181877"/>
    <w:rsid w:val="00223319"/>
    <w:rsid w:val="002B5F5C"/>
    <w:rsid w:val="003148BA"/>
    <w:rsid w:val="003A07F3"/>
    <w:rsid w:val="00415F2C"/>
    <w:rsid w:val="00474198"/>
    <w:rsid w:val="004C01DE"/>
    <w:rsid w:val="004C5BEF"/>
    <w:rsid w:val="0055475B"/>
    <w:rsid w:val="00593FA7"/>
    <w:rsid w:val="005D5B28"/>
    <w:rsid w:val="006955CC"/>
    <w:rsid w:val="007025DC"/>
    <w:rsid w:val="0077245D"/>
    <w:rsid w:val="007E35E6"/>
    <w:rsid w:val="007E3EF1"/>
    <w:rsid w:val="008E5829"/>
    <w:rsid w:val="0091690B"/>
    <w:rsid w:val="009C282B"/>
    <w:rsid w:val="009F60D5"/>
    <w:rsid w:val="00A62A8E"/>
    <w:rsid w:val="00AE0DA3"/>
    <w:rsid w:val="00AE17E0"/>
    <w:rsid w:val="00B247FC"/>
    <w:rsid w:val="00B86038"/>
    <w:rsid w:val="00BA4B92"/>
    <w:rsid w:val="00C26850"/>
    <w:rsid w:val="00C829B3"/>
    <w:rsid w:val="00CE674B"/>
    <w:rsid w:val="00D40BC8"/>
    <w:rsid w:val="00D44165"/>
    <w:rsid w:val="00D608F3"/>
    <w:rsid w:val="00D72827"/>
    <w:rsid w:val="00D75C06"/>
    <w:rsid w:val="00E76107"/>
    <w:rsid w:val="00E86244"/>
    <w:rsid w:val="00EC2A7C"/>
    <w:rsid w:val="00ED5567"/>
    <w:rsid w:val="00FB5B9D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AA14"/>
  <w15:chartTrackingRefBased/>
  <w15:docId w15:val="{57844307-35B7-49D2-A2E0-8E8A14D5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pagetitle">
    <w:name w:val="mainpagetitle"/>
    <w:basedOn w:val="a"/>
    <w:rsid w:val="006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luetext">
    <w:name w:val="dbluetext"/>
    <w:basedOn w:val="a0"/>
    <w:rsid w:val="006955CC"/>
  </w:style>
  <w:style w:type="paragraph" w:styleId="a3">
    <w:name w:val="Normal (Web)"/>
    <w:basedOn w:val="a"/>
    <w:uiPriority w:val="99"/>
    <w:semiHidden/>
    <w:unhideWhenUsed/>
    <w:rsid w:val="006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5CC"/>
    <w:rPr>
      <w:i/>
      <w:iCs/>
    </w:rPr>
  </w:style>
  <w:style w:type="character" w:styleId="a5">
    <w:name w:val="Strong"/>
    <w:basedOn w:val="a0"/>
    <w:uiPriority w:val="22"/>
    <w:qFormat/>
    <w:rsid w:val="006955CC"/>
    <w:rPr>
      <w:b/>
      <w:bCs/>
    </w:rPr>
  </w:style>
  <w:style w:type="paragraph" w:styleId="a6">
    <w:name w:val="List Paragraph"/>
    <w:basedOn w:val="a"/>
    <w:uiPriority w:val="34"/>
    <w:qFormat/>
    <w:rsid w:val="003A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4098</Words>
  <Characters>23360</Characters>
  <Application>Microsoft Office Word</Application>
  <DocSecurity>0</DocSecurity>
  <Lines>194</Lines>
  <Paragraphs>54</Paragraphs>
  <ScaleCrop>false</ScaleCrop>
  <Company/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Petrikina, Elena</dc:creator>
  <cp:keywords/>
  <dc:description/>
  <cp:lastModifiedBy>Petrikina, Elena</cp:lastModifiedBy>
  <cp:revision>53</cp:revision>
  <dcterms:created xsi:type="dcterms:W3CDTF">2022-11-03T12:01:00Z</dcterms:created>
  <dcterms:modified xsi:type="dcterms:W3CDTF">2022-11-03T13:14:00Z</dcterms:modified>
</cp:coreProperties>
</file>